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5E" w:rsidRDefault="0079185E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1171575</wp:posOffset>
            </wp:positionH>
            <wp:positionV relativeFrom="page">
              <wp:posOffset>500380</wp:posOffset>
            </wp:positionV>
            <wp:extent cx="8764905" cy="71501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90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85E" w:rsidRDefault="0079185E"/>
    <w:p w:rsidR="0079185E" w:rsidRDefault="0079185E"/>
    <w:p w:rsidR="0079185E" w:rsidRDefault="0079185E" w:rsidP="0079185E">
      <w:pPr>
        <w:pStyle w:val="NormalnyWeb"/>
        <w:jc w:val="both"/>
      </w:pPr>
      <w:r>
        <w:t>Laboratoria Przyszłości to program skierowany do szkół podstawowych oraz ogólnokształcących szkół artystycznych. Jego celem jest budowanie kompetencji kreatywnych i technicznych wśród uczniów. W ramach Programu szkoły otrzymają od państwa wsparcie finansowe na zakup wyposażenia technicznego niezbędnego do rozwoju umiejętności praktycznych wśród dzieci i młodzieży.</w:t>
      </w:r>
    </w:p>
    <w:p w:rsidR="0079185E" w:rsidRDefault="0079185E" w:rsidP="0079185E">
      <w:pPr>
        <w:pStyle w:val="NormalnyWeb"/>
        <w:jc w:val="both"/>
      </w:pPr>
      <w:r>
        <w:t>Kreatywne myślenie oraz obsługa narzędzi to jedne z podstawowych umiejętności decydujących o rozwoju cywilizacyjnym, gospodarczym i społecznym. Wzrost innowacyjności oraz rozwój technologiczny spowodował, że umiejętności matematyczne, w zakresie nauk przyrodniczych, technologii i inżynierii są dziś ważniejsze niż kiedykolwiek wcześniej. Laboratoria Przyszłości to kolejny krok w stronę wzmocnienia i uatrakcyjnienia dotychczasowego procesu zdobywania wiedzy i praktycznych umiejętności w tych obszarach przez uczniów.</w:t>
      </w:r>
    </w:p>
    <w:p w:rsidR="0079185E" w:rsidRDefault="0079185E" w:rsidP="0079185E">
      <w:pPr>
        <w:pStyle w:val="NormalnyWeb"/>
        <w:jc w:val="both"/>
      </w:pPr>
      <w:r>
        <w:t>W ramach Laboratoriów Przyszłości szkoły otrzymają wsparcie finansowe na zakup wyposażenia technicznego potrzebnego w kształtowaniu i rozwijaniu umiejętności manualnych i technicznych, umiejętności samodzielnego i krytycznego myślenia, zdolności myślenia matematycznego oraz umiejętności w zakresie nauk przyrodniczych, technologii i inżynierii, stosowania technologii informacyjno-komunikacyjnych, jak również pracy zespołowej, dobrej organizacji i dbania o porządek na stanowisku pracy oraz radzenia sobie w życiu codziennym. Pełen zakres wyposażenia możliwego do zakupienia z pozyskanych środków został ujęty w Katalogu wyposażenia. Katalog zawiera zarówno wyposażenie podstawowe (które chcemy, aby od 30 czerwca 2023 roku miały wszystkie szkoły podstawowe) jak i dodatkowe (dobierane swobodnie przez szkoły).</w:t>
      </w:r>
    </w:p>
    <w:p w:rsidR="0079185E" w:rsidRDefault="0079185E" w:rsidP="0079185E">
      <w:pPr>
        <w:pStyle w:val="NormalnyWeb"/>
        <w:jc w:val="both"/>
      </w:pPr>
      <w:r>
        <w:t>Laboratoria Przyszłości to nowoczesny sprzęt, który uatrakcyjni zajęcia szkolne i pozwolą uczniom rozwijać swoje zainteresowania nie tylko na lekcjach techniki i w ramach innych obowiązkowych zajęć edukacyjnych, lecz także w ramach zajęć pozalekcyjnych, kół zainteresowań i innych form rozwijania umiejętności. </w:t>
      </w:r>
    </w:p>
    <w:p w:rsidR="005938C8" w:rsidRDefault="005938C8"/>
    <w:sectPr w:rsidR="0059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9185E"/>
    <w:rsid w:val="005938C8"/>
    <w:rsid w:val="007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48505019185</dc:creator>
  <cp:keywords/>
  <dc:description/>
  <cp:lastModifiedBy>48505019185</cp:lastModifiedBy>
  <cp:revision>2</cp:revision>
  <dcterms:created xsi:type="dcterms:W3CDTF">2022-10-27T09:39:00Z</dcterms:created>
  <dcterms:modified xsi:type="dcterms:W3CDTF">2022-10-27T09:40:00Z</dcterms:modified>
</cp:coreProperties>
</file>